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по работе с жизненным циклом шаблона государственной (муниципальной)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(далее – шаблон услуги)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ФРГУ 3.0</w:t>
      </w:r>
    </w:p>
    <w:p>
      <w:pPr>
        <w:pStyle w:val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Порядок действий после присоединения к шаблону услуги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присоединения к шаблону услуги его можно найти в личном кабинете пользователя</w:t>
      </w:r>
      <w:r>
        <w:rPr>
          <w:rFonts w:ascii="Times New Roman" w:hAnsi="Times New Roman" w:cs="Times New Roman"/>
          <w:sz w:val="28"/>
          <w:szCs w:val="28"/>
        </w:rPr>
        <w:t xml:space="preserve"> в разделе «Услуги ведомства».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54480"/>
                <wp:effectExtent l="0" t="0" r="3175" b="7620"/>
                <wp:docPr id="1" name="Рисунок 1" descr="Изображение выглядит как текст, Шрифт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264612" name="Рисунок 1" descr="Изображение выглядит как текст, Шрифт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940425" cy="155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122.40pt;mso-wrap-distance-left:0.00pt;mso-wrap-distance-top:0.00pt;mso-wrap-distance-right:0.00pt;mso-wrap-distance-bottom:0.00pt;" stroked="false">
                <v:path textboxrect="0,0,0,0"/>
                <v:imagedata r:id="rId6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нажатии на услугу откроется главное меню, где можно будет посмотреть уже внесенную информацию, </w:t>
      </w:r>
      <w:r>
        <w:rPr>
          <w:rFonts w:ascii="Times New Roman" w:hAnsi="Times New Roman" w:cs="Times New Roman"/>
          <w:sz w:val="28"/>
          <w:szCs w:val="28"/>
        </w:rPr>
        <w:t xml:space="preserve">осуществить внесение или исправление сведений о шаблоне паспорта услуги, включая </w:t>
      </w:r>
      <w:r>
        <w:rPr>
          <w:rFonts w:ascii="Times New Roman" w:hAnsi="Times New Roman" w:cs="Times New Roman"/>
          <w:sz w:val="28"/>
          <w:szCs w:val="28"/>
        </w:rPr>
        <w:t xml:space="preserve">подуслуги</w:t>
      </w:r>
      <w:r>
        <w:rPr>
          <w:rFonts w:ascii="Times New Roman" w:hAnsi="Times New Roman" w:cs="Times New Roman"/>
          <w:sz w:val="28"/>
          <w:szCs w:val="28"/>
        </w:rPr>
        <w:t xml:space="preserve">, профилирование и варианты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нажав на «Взять в работу»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Для осуществления этих действий по редактированию информации требуется роль «Разработчик».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948055"/>
                <wp:effectExtent l="0" t="0" r="3175" b="4445"/>
                <wp:docPr id="2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1734434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40425" cy="948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74.65pt;mso-wrap-distance-left:0.00pt;mso-wrap-distance-top:0.00pt;mso-wrap-distance-right:0.00pt;mso-wrap-distance-bottom:0.00pt;" stroked="false">
                <v:path textboxrect="0,0,0,0"/>
                <v:imagedata r:id="rId7" o:title=""/>
              </v:shape>
            </w:pict>
          </mc:Fallback>
        </mc:AlternateConten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всех нужных данных в паспорт услуги, созданной на основании шаблона услуги,</w:t>
      </w:r>
      <w:r>
        <w:rPr>
          <w:rFonts w:ascii="Times New Roman" w:hAnsi="Times New Roman" w:cs="Times New Roman"/>
          <w:sz w:val="28"/>
          <w:szCs w:val="28"/>
        </w:rPr>
        <w:t xml:space="preserve"> следует обеспечить процесс внутриведомственного согласования паспорта услуги, целью которого является проверка </w:t>
      </w:r>
      <w:r>
        <w:rPr>
          <w:rFonts w:ascii="Times New Roman" w:hAnsi="Times New Roman" w:cs="Times New Roman"/>
          <w:sz w:val="28"/>
          <w:szCs w:val="28"/>
        </w:rPr>
        <w:t xml:space="preserve">внесенных в ФРГУ 3.0 сведений об услуге.</w:t>
      </w:r>
      <w:r>
        <w:rPr>
          <w:rFonts w:ascii="Times New Roman" w:hAnsi="Times New Roman" w:cs="Times New Roman"/>
          <w:sz w:val="28"/>
          <w:szCs w:val="28"/>
        </w:rPr>
        <w:t xml:space="preserve"> Для этого необходимо настроить маршрут согласования, нажав на соответствующую кнопку. Для настройки маршрута требуется роль «Делопроизводитель».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902970"/>
                <wp:effectExtent l="0" t="0" r="3175" b="0"/>
                <wp:docPr id="3" name="Рисунок 1" descr="Изображение выглядит как текст, Шрифт, снимок экрана, линия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2993744" name="Рисунок 1" descr="Изображение выглядит как текст, Шрифт, снимок экрана, линия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40425" cy="902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71.1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открывшемся окне после перехода в «Маршрут» необходимо нажать на наименование стадии предстоящего внутриведомственного согласования, </w:t>
      </w:r>
      <w:r>
        <w:rPr>
          <w:rFonts w:ascii="Times New Roman" w:hAnsi="Times New Roman" w:cs="Times New Roman"/>
          <w:sz w:val="28"/>
          <w:szCs w:val="28"/>
        </w:rPr>
        <w:t xml:space="preserve">на последний цикл предстоящего внутриведомственного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на наименование ведомства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окне нажмите кнопку «Редактировать согласующих от ведомства», выберите согласующих и нажмите «Сохранить».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настройте для основного согласующего дочерних согласующих.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2943225"/>
                <wp:effectExtent l="0" t="0" r="9525" b="9525"/>
                <wp:docPr id="4" name="Рисунок 1" descr="Изображение выглядит как текст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3029575" name="Рисунок 1" descr="Изображение выглядит как текст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705475" cy="2943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9.25pt;height:231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внутриведомственного согласования паспорт услуги, созданной на основании шаблона услуги, перейдет на стадию «7. Паспорт услуги опубликован». </w: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Начало работы с административным регламентом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того, чтобы перейти к созданию регламента услуги, на стадии «7. Паспорт услуги опубликован» маршрута согласования услуги нажмите кнопку «Создать регламент».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396365"/>
                <wp:effectExtent l="0" t="0" r="3175" b="0"/>
                <wp:docPr id="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501299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940425" cy="1396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109.9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запустится жизненный цикл согласования регламента услуги на стадии «8. Разработка регламента», данные регламента отобразятся на вкладке «Регламент».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того, чтобы скачать проект регламента, сформированный системой, нажмите кнопку «Скачать </w:t>
      </w:r>
      <w:r>
        <w:rPr>
          <w:rFonts w:ascii="Times New Roman" w:hAnsi="Times New Roman" w:cs="Times New Roman"/>
          <w:sz w:val="28"/>
          <w:szCs w:val="28"/>
        </w:rPr>
        <w:t xml:space="preserve">предзаполненный</w:t>
      </w:r>
      <w:r>
        <w:rPr>
          <w:rFonts w:ascii="Times New Roman" w:hAnsi="Times New Roman" w:cs="Times New Roman"/>
          <w:sz w:val="28"/>
          <w:szCs w:val="28"/>
        </w:rPr>
        <w:t xml:space="preserve"> регламент».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14985"/>
                <wp:effectExtent l="0" t="0" r="3175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767767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5940425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40.5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</w:t>
      </w:r>
      <w:r>
        <w:rPr>
          <w:rFonts w:ascii="Times New Roman" w:hAnsi="Times New Roman" w:cs="Times New Roman"/>
          <w:sz w:val="28"/>
          <w:szCs w:val="28"/>
        </w:rPr>
        <w:t xml:space="preserve">езультате будет сформирован и выгружен проект административного регламента, в котором: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Красные фрагменты текста недоступны для редактирования (при загрузке в систему осуществляется проверка сохранения данных фрагментов без изменений), так как они сформированы автоматически из справочных значений, использованных в карточке, паспорте услуги и </w:t>
      </w:r>
      <w:r>
        <w:rPr>
          <w:rFonts w:ascii="Times New Roman" w:hAnsi="Times New Roman" w:cs="Times New Roman"/>
          <w:sz w:val="28"/>
          <w:szCs w:val="28"/>
        </w:rPr>
        <w:t xml:space="preserve">подуслугах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Фиолетовые фрагменты текста доступны для редактирования, но выделены цветом, так как рекомендуются для проверки и доработки при необходимости перед загрузкой в систему;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Черные фрагменты текста доступны для редактирования.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506720"/>
                <wp:effectExtent l="0" t="0" r="3175" b="0"/>
                <wp:docPr id="7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4782857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5940425" cy="550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433.6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перейти к загрузке проекта регламента, нажмите на кнопку «Загрузить проект регламента».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открывшемся модальном окне «Загрузка файла» прикрепите проект регламента и нажмите кнопку «Загрузить».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2765"/>
                <wp:effectExtent l="0" t="0" r="3175" b="635"/>
                <wp:docPr id="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366947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594042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5pt;height:41.9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загруженный файл отобразится в блоке «Проект регламента».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административный регламент должен утверждать орган власти, отличный от органа власти, разрабатывающего административный регламент, нажмите кнопку «Редактировать» на вкладке «Регламент».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974090"/>
                <wp:effectExtent l="0" t="0" r="3175" b="0"/>
                <wp:docPr id="9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9471086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5940425" cy="974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7.75pt;height:76.7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«Да» в поле «АР утверждает иное ведомство?», выберите орган власти в поле «» (перечень органов власти для выбора определяется настроенными значениями в реестре органов власти по административному уровню и субъекту РФ услуги) и нажмите кнопку «Сохранить».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необходимо перейти на вкладку «Клиентоцентричность» и заполнить требуемую информацию.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693420"/>
                <wp:effectExtent l="0" t="0" r="3175" b="0"/>
                <wp:docPr id="1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3828802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5940425" cy="693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7.75pt;height:54.6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Внутриведомственное согласование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административного регламента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стадии «9 Внутриведомственное согласование регламента» для согласующих от органа власти – разработчика регламента доступны просмотр, комментирование текста проекта административного регламента и проставление визы.</w:t>
      </w:r>
      <w:r>
        <w:rPr>
          <w:rFonts w:ascii="Times New Roman" w:hAnsi="Times New Roman" w:cs="Times New Roman"/>
          <w:sz w:val="28"/>
          <w:szCs w:val="28"/>
        </w:rPr>
        <w:t xml:space="preserve"> Механизм порядка согласования аналогичен согласованию карточки и паспорта услуги, созданной на основании шаблона услуги.</w:t>
      </w:r>
    </w:p>
    <w:p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Межведомственное согласование и Независимая антикоррупционная экспертиза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сведений о независимой антикоррупционной экспертизе доступно разработчику услуги на стадии Межведомственное согласование / НАКЭ». маршрута согласования «10 Для того, чтобы перейти к внесению сведений о независимой антикоррупционной экспертизе нажмите кнопку «Редактировать».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085340"/>
                <wp:effectExtent l="0" t="0" r="3175" b="0"/>
                <wp:docPr id="11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0548969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5940425" cy="2085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75pt;height:164.2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открывшейся странице «Редактировать регламент» заполните обязательные поля в блоке «Антикоррупционная экспертиза» и нажмите кнопку «Сохранить».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разместить проект регламента на </w:t>
      </w:r>
      <w:r>
        <w:rPr>
          <w:rFonts w:ascii="Times New Roman" w:hAnsi="Times New Roman" w:cs="Times New Roman"/>
          <w:sz w:val="28"/>
          <w:szCs w:val="28"/>
        </w:rPr>
        <w:t xml:space="preserve">Regulation</w:t>
      </w:r>
      <w:r>
        <w:rPr>
          <w:rFonts w:ascii="Times New Roman" w:hAnsi="Times New Roman" w:cs="Times New Roman"/>
          <w:sz w:val="28"/>
          <w:szCs w:val="28"/>
        </w:rPr>
        <w:t xml:space="preserve">, нажмите кнопку «Разместить проект на </w:t>
      </w:r>
      <w:r>
        <w:rPr>
          <w:rFonts w:ascii="Times New Roman" w:hAnsi="Times New Roman" w:cs="Times New Roman"/>
          <w:sz w:val="28"/>
          <w:szCs w:val="28"/>
        </w:rPr>
        <w:t xml:space="preserve">Regulation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264410"/>
                <wp:effectExtent l="0" t="0" r="3175" b="2540"/>
                <wp:docPr id="12" name="Рисунок 1" descr="Изображение выглядит как текст, Шрифт, число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8699474" name="Рисунок 1" descr="Изображение выглядит как текст, Шрифт, число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5940425" cy="2264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67.75pt;height:178.3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подписать проект регламента УКЭП, нажмите кнопку «Подписать УКЭП».</w:t>
      </w:r>
      <w:r>
        <w:rPr>
          <w:rFonts w:ascii="Times New Roman" w:hAnsi="Times New Roman" w:cs="Times New Roman"/>
          <w:sz w:val="28"/>
          <w:szCs w:val="28"/>
        </w:rPr>
        <w:t xml:space="preserve"> После этого можно будет перейти к проверке УКЭП, нажав на кнопку «Проверить УКЭП».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же стадии принимают решение о согласовании или об отказе в согласовании иные ведомства. Автоматически регламент уходит на согласование в те ведомства, которые назначены в качестве органов-поставщиков информации, получаемой посредством направления межведомственных информационных запросов. Иные органы, в случае необходимости, можно добавить самостоятельно через «Маршрут».</w: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Разработка протокола разногласий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Загрузка протокола разногласий доступна разработчику услуги на стадии маршрута согласования «11. Разработка протокола разногласий». Для того, чтобы перейти к загрузке протокола разногласий, нажмите на кнопку «Загрузить протокол разногласий».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701040"/>
                <wp:effectExtent l="0" t="0" r="3175" b="3810"/>
                <wp:docPr id="1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7666534" name=""/>
                        <pic:cNvPicPr/>
                        <pic:nv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5940425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7.75pt;height:55.2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открывшемся модальном окне «Загрузка файла» прикрепите протокол разногласий и нажмите кнопку «Загрузить».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12770"/>
                <wp:effectExtent l="0" t="0" r="3175" b="0"/>
                <wp:docPr id="14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8389779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5940425" cy="3112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7.75pt;height:245.1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результате загруженный файл отобразится в блоке «Протокол разногласий».</w: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Согласование протокола разногласий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стадии «12 Согласование протокола разногласий» в качестве согласующих автоматически назначаются органы власти, отказавшие в согласовании на стадии «10 Межведомственное согласование / НАКЭ» или «13 Экспертиза регламента», а также орган власти - разработчик регламента. </w:t>
      </w:r>
      <w:r>
        <w:rPr>
          <w:rFonts w:ascii="Times New Roman" w:hAnsi="Times New Roman" w:cs="Times New Roman"/>
          <w:sz w:val="28"/>
          <w:szCs w:val="28"/>
        </w:rPr>
        <w:t xml:space="preserve">Согласующие от данных ведомств проверяют загруженный на предыдущей стадии протокол разногласий и проставляют визу.</w: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Обязательная экспертиза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Загрузка заключения обязательной экспертизы доступно согласующим на стадии маршрута согласования «13 Экспертиза регламента». На данной стадии автоматически назначаются в качестве согласующих, настроенные по административному уровню и субъекту РФ: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Орган, уполномоченный на ведение реестра услуг;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Орган, уполномоченный на проведение экспертизы на предмет соответствия требованиям информационной инфраструктуры. Для того, чтобы перейти к внесению сведений об обязательной экспертизе нажмите кнопку «Редактировать».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открывшейся странице «Редактировать регламент» заполните обязательные поля в блоке «Обязательная экспертиза» и нажмите кнопку «Сохранить».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766695"/>
                <wp:effectExtent l="0" t="0" r="3175" b="0"/>
                <wp:docPr id="15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9591205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5940425" cy="2766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7.75pt;height:217.8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Утверждение регламента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сведений об утверждении доступно разработчику услуги на стадии маршрута согласования «14. Утверждение регламента». Для того, </w:t>
      </w:r>
      <w:r>
        <w:rPr>
          <w:rFonts w:ascii="Times New Roman" w:hAnsi="Times New Roman" w:cs="Times New Roman"/>
          <w:sz w:val="28"/>
          <w:szCs w:val="28"/>
        </w:rPr>
        <w:t xml:space="preserve">чтобы внести сведения об утверждении регламента ведомством нажмите кнопку «Редактировать» на вкладке «Регламент».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Внесите дату регистрации и регистрационный номер в блоке «Утверждение ведомством» и нажмите кнопку «Сохранить».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будет сформирован административный регламент, в который автоматически будут внесены сведения об утверждении ведомством.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подписать административный регламент УКЭП, нажмите кнопку «Подписать УКЭП».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911860"/>
                <wp:effectExtent l="0" t="0" r="3175" b="2540"/>
                <wp:docPr id="16" name="Рисунок 1" descr="Изображение выглядит как текст, линия, Шрифт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4582497" name="Рисунок 1" descr="Изображение выглядит как текст, линия, Шрифт, снимок экрана&#10;&#10;Содержимое, созданное искусственным интеллектом, может быть неверным.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5940425" cy="911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67.75pt;height:71.8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перейти к загрузке дополнительных документов, нажмите на кнопку «Загрузить доп. документы».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694690"/>
                <wp:effectExtent l="0" t="0" r="3175" b="0"/>
                <wp:docPr id="1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708342" name=""/>
                        <pic:cNvPicPr/>
                        <pic:nv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5940425" cy="694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67.75pt;height:54.7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Государственная регистрация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сведений о государственной регистрации доступно согласующим на стадии маршрута согласования «15 Государственная регистрация». На данной стадии автоматически назначается в качестве согласующего, настроенный по административному уровню и субъекту РФ орган власти, осуществляющий государственную регистрацию АР.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по административному уровню и субъекту РФ услуги не был настроен орган власти, проводящий государственную регистрацию АР, стадия «15 Государственная регистрация» будет пропущена, и после стадии «14 Утверждение регламента» переход будет осуществлен на стадию «16 Публикация регламента».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перейти к внесению сведений о государственной регистрации нажмите кнопку «Редактировать».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открывшейся странице «Редактировать регламент» заполните обязательные поля в блоке «Государственная регистрация» и нажмите кнопку «Сохранить».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сформировать зарегистрированный регламент, после внесения даты регистрации и регистрационного номера </w:t>
      </w:r>
      <w:r>
        <w:rPr>
          <w:rFonts w:ascii="Times New Roman" w:hAnsi="Times New Roman" w:cs="Times New Roman"/>
          <w:sz w:val="28"/>
          <w:szCs w:val="28"/>
        </w:rPr>
        <w:t xml:space="preserve">на вкладке «Регламент» </w:t>
      </w:r>
      <w:r>
        <w:rPr>
          <w:rFonts w:ascii="Times New Roman" w:hAnsi="Times New Roman" w:cs="Times New Roman"/>
          <w:sz w:val="28"/>
          <w:szCs w:val="28"/>
        </w:rPr>
        <w:t xml:space="preserve">нажмите кнопку «Сформировать штамп гос. регистрации».</w:t>
      </w:r>
    </w:p>
    <w:p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Публикация регламента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достижении стадии «16 Публикация регламента» жизненный цикл услуги остается на ней на 10 календарных дней с момента начала или до иной даты, указанной в паспорте услуги, после чего жизненный цикл услуги автоматически переходит на стадию «17 Регламент вступил в силу».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достижении стадии «17 Регламент вступил в силу» административный регламент публикуется в реестр услуг в связке с ранее опубликованными карточкой и паспортом услуги.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a4" w:customStyle="1">
    <w:name w:val="Заголовок Знак"/>
    <w:basedOn w:val="a0"/>
    <w:link w:val="a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22" w:customStyle="1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a" w:customStyle="1">
    <w:name w:val="Выделенная цитата Знак"/>
    <w:basedOn w:val="a0"/>
    <w:link w:val="a9"/>
    <w:uiPriority w:val="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7635</Characters>
  <CharactersWithSpaces>8957</CharactersWithSpaces>
  <Company/>
  <DocSecurity>0</DocSecurity>
  <HyperlinksChanged>false</HyperlinksChanged>
  <Lines>63</Lines>
  <LinksUpToDate>false</LinksUpToDate>
  <Pages>10</Pages>
  <Paragraphs>17</Paragraphs>
  <ScaleCrop>false</ScaleCrop>
  <SharedDoc>false</SharedDoc>
  <Template>Normal</Template>
  <TotalTime>195</TotalTime>
  <Words>1339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Жилинский Даниил Андреевич</dc:creator>
  <cp:keywords/>
  <dc:description/>
  <cp:lastModifiedBy>Жилинский Даниил Андреевич</cp:lastModifiedBy>
  <cp:revision>15</cp:revision>
  <dcterms:created xsi:type="dcterms:W3CDTF">2026-02-02T08:42:00Z</dcterms:created>
  <dcterms:modified xsi:type="dcterms:W3CDTF">2026-02-02T11:57:00Z</dcterms:modified>
</cp:coreProperties>
</file>