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3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Мета данные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833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833"/>
        <w:ind w:left="0" w:right="0" w:firstLine="709"/>
        <w:jc w:val="both"/>
        <w:rPr>
          <w:rFonts w:ascii="PT Astra Serif" w:hAnsi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Мета данные – это настраиваемые поля с данными по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организации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, которые используются в автоматически формируемых документах, при работе подсистемы Аналитики и отчётов и в других разделах системы.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  <w:highlight w:val="none"/>
        </w:rPr>
      </w:r>
    </w:p>
    <w:p>
      <w:pPr>
        <w:pStyle w:val="833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добавления новых метаданных необходимо перейти в раздел «Мета данные» (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Рисунок 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1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пункт 1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 и нажать на кнопку «Добавить параметр» (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Рисунок 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1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 пункт 2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50290" cy="3043555"/>
                <wp:effectExtent l="6350" t="6350" r="6350" b="6350"/>
                <wp:docPr id="1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0730878" name="Picture 1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5950289" cy="30435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8.53pt;height:239.6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jc w:val="center"/>
        <w:rPr>
          <w:rFonts w:ascii="PT Astra Serif" w:hAnsi="PT Astra Serif" w:eastAsia="PT Astra Serif" w:cs="PT Astra Serif"/>
          <w:b/>
          <w:bCs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2"/>
          <w:szCs w:val="22"/>
        </w:rPr>
      </w:r>
      <w:bookmarkStart w:id="0" w:name="undefined"/>
      <w:r>
        <w:rPr>
          <w:rFonts w:ascii="PT Astra Serif" w:hAnsi="PT Astra Serif" w:eastAsia="PT Astra Serif" w:cs="PT Astra Serif"/>
          <w:b/>
          <w:bCs/>
          <w:iCs/>
          <w:sz w:val="22"/>
          <w:szCs w:val="22"/>
        </w:rPr>
        <w:t xml:space="preserve">Рисунок 1</w:t>
      </w:r>
      <w:bookmarkEnd w:id="0"/>
      <w:r>
        <w:rPr>
          <w:rFonts w:ascii="PT Astra Serif" w:hAnsi="PT Astra Serif" w:eastAsia="PT Astra Serif" w:cs="PT Astra Serif"/>
          <w:b/>
          <w:bCs/>
          <w:sz w:val="22"/>
          <w:szCs w:val="22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highlight w:val="none"/>
        </w:rPr>
      </w:r>
    </w:p>
    <w:p>
      <w:pPr>
        <w:pStyle w:val="833"/>
        <w:jc w:val="center"/>
        <w:rPr>
          <w:rFonts w:ascii="PT Astra Serif" w:hAnsi="PT Astra Serif" w:cs="PT Astra Serif"/>
          <w:b/>
          <w:bCs/>
          <w:sz w:val="18"/>
          <w:szCs w:val="18"/>
        </w:rPr>
      </w:pPr>
      <w:r>
        <w:rPr>
          <w:rFonts w:ascii="PT Astra Serif" w:hAnsi="PT Astra Serif" w:eastAsia="PT Astra Serif" w:cs="PT Astra Serif"/>
          <w:b/>
          <w:bCs/>
          <w:sz w:val="22"/>
          <w:szCs w:val="22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  <w:highlight w:val="none"/>
        </w:rPr>
      </w:r>
    </w:p>
    <w:p>
      <w:pPr>
        <w:pStyle w:val="833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Отобразится новая строка параметра метаданных, поле «Код» (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Рисунок 1 пункт 3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 используется для указания наименования мета данных. Необходимо указывать латинскими буквами для последующего использования в печатных формах, для интеграции с внешними информационными системами или для других целей. В поле «Значение» (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Рисунок 1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 пункт 4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 следует добавить описание нового параметра.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редактирования мета данных, следует установить курсор в нужной строке, после чего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изменить необходимые данные (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Рисунок 1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 пункт 5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). Для удаления строки метаданных требуется нажать на соответствующую кнопку – «Удалить» (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fldChar w:fldCharType="begin"/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instrText xml:space="preserve"> REF _Ref158039640 \h  \* MERGEFORMAT </w:instrTex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fldChar w:fldCharType="separate"/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Рисунок </w:t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1</w:t>
        <w:fldChar w:fldCharType="end"/>
      </w:r>
      <w:r>
        <w:rPr>
          <w:rFonts w:ascii="PT Astra Serif" w:hAnsi="PT Astra Serif" w:eastAsia="PT Astra Serif" w:cs="PT Astra Serif"/>
          <w:i/>
          <w:iCs/>
          <w:sz w:val="28"/>
          <w:szCs w:val="28"/>
        </w:rPr>
        <w:t xml:space="preserve"> пункт 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ind w:left="0" w:right="0"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Для сохранения внесенных данных необходимо нажать на кнопку «Сохранить».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pStyle w:val="833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pStyle w:val="833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pStyle w:val="833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pStyle w:val="833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pStyle w:val="833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p>
      <w:pPr>
        <w:pStyle w:val="833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833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Рекомендуемые для заполнения Мета данные организации,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</w:p>
    <w:p>
      <w:pPr>
        <w:pStyle w:val="833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предоставляющей услугу в ПГС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</w:p>
    <w:p>
      <w:pPr>
        <w:pStyle w:val="833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tbl>
      <w:tblPr>
        <w:tblStyle w:val="686"/>
        <w:tblW w:w="0" w:type="auto"/>
        <w:tblInd w:w="360" w:type="dxa"/>
        <w:tblLook w:val="04A0" w:firstRow="1" w:lastRow="0" w:firstColumn="1" w:lastColumn="0" w:noHBand="0" w:noVBand="1"/>
      </w:tblPr>
      <w:tblGrid>
        <w:gridCol w:w="486"/>
        <w:gridCol w:w="2126"/>
        <w:gridCol w:w="6373"/>
      </w:tblGrid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№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Код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Наименование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MFCName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Полное наименование организации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MFCShortName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Краткое наименование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организации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3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FaxNumber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ФАКС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4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PhoneNumber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Телефон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5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Address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Адрес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6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postalCode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Индекс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7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Email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Электронная почта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8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region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Код региона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9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Region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Наименование региона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10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regionCode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Код региона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(дублируем из-за различий в настройках запросов)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11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ogrn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ОГРН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12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i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nn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ИНН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13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INN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ИНН (дублируем из-за различий в настройках запросов)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14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kpp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КПП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15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okato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ОКАТО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16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okpo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ОКПО (заполняется при использовании в печатных формах)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17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lang w:val="en-US"/>
              </w:rPr>
              <w:t xml:space="preserve">url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Сайт организации при наличии (заполняется при использовании в печатных формах)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18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originatorId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УРН участника косвенного взаимодействия, формирующего начисление в ГИС ГМП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Для запроса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ГИС ГМП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по данн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ым казначейства)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19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senderIdentifier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УРН участника-отправителя сообщения в ГИС ГМП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Для запроса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ГИС ГМП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по данным казначейства)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  <w:tr>
        <w:tblPrEx/>
        <w:trPr/>
        <w:tc>
          <w:tcPr>
            <w:tcW w:w="486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20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senderRole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  <w:tc>
          <w:tcPr>
            <w:tcW w:w="6373" w:type="dxa"/>
            <w:vMerge w:val="restart"/>
            <w:textDirection w:val="lrTb"/>
            <w:noWrap w:val="false"/>
          </w:tcPr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Полномочие ведомства в ГИС ГМП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. Для отправки запроса по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гос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ошлине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(чис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ло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вое значение 1,2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или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3)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  <w:p>
            <w:pPr>
              <w:pStyle w:val="833"/>
              <w:rPr>
                <w:rFonts w:ascii="PT Astra Serif" w:hAnsi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Для запроса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ГИС ГМП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 по данным казначейства)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</w:p>
        </w:tc>
      </w:tr>
    </w:tbl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ind w:left="0" w:right="0" w:firstLine="0"/>
        <w:jc w:val="center"/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Прочие Мета данные: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</w:p>
    <w:p>
      <w:pPr>
        <w:pStyle w:val="833"/>
        <w:ind w:left="0" w:right="0" w:firstLine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  <w:highlight w:val="none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accountNumber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номер счёта (расчётный счёт)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bikBank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БИК банка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CallCenter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email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CallCenter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Phone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codeErul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код, присвоенный при регистрации организации в ЕРУЛ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correspondentBankAccount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номер единого казначейского счёта (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кор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.с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чёт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DirectorDat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ФИО руководителя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DirPosition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наименование должности руководителя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FaxNumber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genitiveName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kbk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КБК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Mail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Address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почтовый адрес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MFCNameDat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Наименование организации в дательном падеже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MFCShortName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Сокращённое наименование организации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nameBank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наименование банка (РКЦ)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okato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ОКАТО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okogu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ОКОГУ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okpo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ОКПО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  <w:lang w:val="en-US"/>
        </w:rPr>
        <w:t xml:space="preserve">oktmo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ОКТМО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PhoneNumber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–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телефон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postalCode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-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индекс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numPr>
          <w:ilvl w:val="0"/>
          <w:numId w:val="1"/>
        </w:numPr>
        <w:ind w:left="0" w:right="0" w:firstLine="0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senderRoleCharge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–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Полномочие ведомства в ГИС ГМП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. Д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ля отправки запроса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получения данных о неуплаченном адм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инистративном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штрафе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(числовое значение 16 или 22)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ind w:left="0" w:right="0" w:firstLine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833"/>
        <w:ind w:left="0" w:right="0" w:firstLine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Для сведения все коды в ГИС ГМП: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</w:p>
    <w:p>
      <w:pPr>
        <w:pStyle w:val="833"/>
        <w:ind w:left="0" w:right="0" w:firstLine="0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Полномочие участника-отправителя сообщения (УРН которого передается в атрибуте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senderIdentifier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), с которым происходит обращение к ГИС ГМП.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ind w:left="0" w:right="0" w:firstLine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p>
      <w:pPr>
        <w:pStyle w:val="833"/>
        <w:ind w:left="0" w:right="0" w:firstLine="0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Допустимые значения: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</w:p>
    <w:p>
      <w:pPr>
        <w:pStyle w:val="833"/>
        <w:ind w:left="0" w:right="0" w:firstLine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 – ГАН (главный администратор доходов бюджета, имеющий в своем ведении администраторов доходов бюджета и (или) осуществляющий функции и полномочия учредителя в отношении государственных (муниципальных) учреждений);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 – ГАН (орган государственной власти субъектов Российской Федерации (орган местного самоуправления), обеспечивающий информационное взаимодействие с ГИС ГМП государственных (муниципальных) учреждений и (или) администраторов доходов бюджета);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 — АН (администратор доходов бюджета, главный администратор доходов бюджета);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4 — АН (государственное (муниципальное) учреждение);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5 — ГАП (оператор по переводу денежных средств, обеспечивающий информационное взаимодействие с ГИС ГМП иных операторов по переводу денежных средств и (или) банковских платежных агентов (субагентов), и (или) платежных агентов);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6 — ГАП (орган государственной власти субъектов Российской Федерации (орган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местного самоуправления), обеспечивающий информационное взаимодействие с ГИС ГМП финансовых органов и (или) местных администраций, и (или) государственных (муниципальных) учреждений, осуществляющих прием в кассу от плательщиков наличных денежных средств);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7 — АП (оператор по переводу денежных средств);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8 — АП (организация почтовой связи);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9 — АП (финансовый орган);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10 — АП (местная администрация);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11 — АП (банковский платежный агент);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12 — АП (банковский платежный субагент);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13 — АП (платежный агент);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14 — АП (государственное (муниципальное) учреждение и многофункциональный центр, осуществляющий прием в кассу от плательщиков наличных денежных средств);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15 — ГАЗ (уполномоченный многофункциональный центр, обеспечивающий информационное взаимодействие с ГИС ГМП многофункциональных центров);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16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— ГАЗ (орган государственной власти субъекта Российской Федерации (орган местного самоуправления), обеспечивающий информационное взаимодействие с ГИС ГМП многофункциональных центров и (или) органов государственной власти (органов местного самоуправления),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обладающих правом получать информацию, содержащуюся в ГИС ГМП при предоставлении государственных (муниципальных) услуг и (или) выполнении государственных (муниципальных) функций, и не осуществляющих администрирование платежей, его территориальные органы; 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орган государственной власти (орган местного самоуправления),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обладающий правом получать информацию, содержащуюся в ГИС ГМП, при предоставлении государственных (муниципальных) услуг и (или) выполнении государственных (муниципальных) функций, и не осуществляющий администрирование платежей, его территориальные органы);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17 — АЗ (оператор единого портала);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18 — АЗ (оператор регионального портала);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19 — АЗ (многофункциональный центр);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20 — АП (органы управления государственными внебюджетными фондами Российской Федерации);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22 — АЗ (орган государственной власти (орган местного сам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оуправления), обладающий правом получать информацию из ГИС ГМП при предоставлении государственных (муниципальных) услуг и (или) выполнении государственных (муниципальных) функций, и не осуществляющий администрирование платежей, его территориальные органы);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23 — АП (территориальный орган Федерального казначейства)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24 — ГАН (уполномоченный орган, являющийся главным администратором доходов бюджета);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25 — ГАН (оператор системы «Электронный бюджет»);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27 — АН (уполномоченный орган, являющийся администратором доходов бюджета);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28 — ГАП (оператор системы «Электронный бюджет»);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29 — ГАП (органы управления государственными внебюджетными фондами Российской Федерации, обеспечивающие взаимодействие с ГИС ГМП территориальных органов государственных внебюджетных фондов Российской Федерации);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30 — ГАП (уполномоченные многофункциональные центры, обеспечивающие информационное взаимодействие с ГИС ГМП многофункциональных центров);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31 — ГАЗ (оператор системы «Электронный бюджет»);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32 — ГАЗ (оператор ФГИС ЕГР ЗАГС, обеспечивающий информационное взаимодействие с ГИС ГМП органов, осуществляющих государственную регистрацию актов гражданского состояния;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33 — АН (уполномоченный орган);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34 – ГАЗ (оператор ГАС «Правосудие», обеспечивающий информационное взаимодействие с ГИС ГМП судов и мировых судей);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35 – АЗ (Областные и равные им суды, обладающие правом получать информацию, содержащуюся в ГИС ГМП, и не осуществляющие администрирование платежей)</w:t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bookmarkStart w:id="0" w:name="undefined"/>
      <w:r>
        <w:rPr>
          <w:rFonts w:ascii="PT Astra Serif" w:hAnsi="PT Astra Serif" w:eastAsia="PT Astra Serif" w:cs="PT Astra Serif"/>
          <w:sz w:val="28"/>
          <w:szCs w:val="28"/>
        </w:rPr>
      </w:r>
      <w:bookmarkEnd w:id="0"/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eastAsia="PT Astra Serif" w:cs="PT Astra Serif"/>
          <w:sz w:val="28"/>
          <w:szCs w:val="28"/>
        </w:rPr>
      </w:r>
    </w:p>
    <w:p>
      <w:pPr>
        <w:pStyle w:val="833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Пример корректно заполненного раздела Мета данные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: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</w:p>
    <w:p>
      <w:pPr>
        <w:pStyle w:val="833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24575" cy="7591425"/>
                <wp:effectExtent l="0" t="0" r="9525" b="9525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460247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24574" cy="75914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2.25pt;height:597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</w:r>
      <w:r>
        <w:rPr>
          <w:rFonts w:ascii="PT Astra Serif" w:hAnsi="PT Astra Serif" w:eastAsia="PT Astra Serif" w:cs="PT Astra Serif"/>
          <w:sz w:val="28"/>
          <w:szCs w:val="28"/>
          <w:lang w:val="en-US"/>
        </w:rPr>
      </w:r>
    </w:p>
    <w:p>
      <w:pPr>
        <w:pStyle w:val="833"/>
        <w:rPr>
          <w:rFonts w:ascii="PT Astra Serif" w:hAnsi="PT Astra Serif" w:cs="PT Astra Serif"/>
          <w:b/>
          <w:bCs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95925" cy="5591175"/>
                <wp:effectExtent l="0" t="0" r="9525" b="9525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720903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495924" cy="55911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32.75pt;height:440.25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paragraph" w:styleId="1_3534" w:customStyle="1">
    <w:name w:val="Normal (Web)"/>
    <w:basedOn w:val="617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2025-02-25T04:41:25Z</dcterms:modified>
</cp:coreProperties>
</file>